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LAYANAN FREEZE DRY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line="36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Identitas Sampel: </w:t>
      </w:r>
    </w:p>
    <w:tbl>
      <w:tblPr>
        <w:tblStyle w:val="Table1"/>
        <w:tblW w:w="891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5"/>
        <w:gridCol w:w="2850"/>
        <w:gridCol w:w="705"/>
        <w:gridCol w:w="2115"/>
        <w:gridCol w:w="1635"/>
        <w:gridCol w:w="1140"/>
        <w:tblGridChange w:id="0">
          <w:tblGrid>
            <w:gridCol w:w="465"/>
            <w:gridCol w:w="2850"/>
            <w:gridCol w:w="705"/>
            <w:gridCol w:w="2115"/>
            <w:gridCol w:w="1635"/>
            <w:gridCol w:w="11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Nama Sampel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Wadah</w:t>
              <w:br w:type="textWrapping"/>
              <w:t xml:space="preserve">(thinwall, plastic cylinder container)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Volume Wadah (ml)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Jumlah</w:t>
            </w:r>
          </w:p>
        </w:tc>
      </w:tr>
      <w:tr>
        <w:trPr>
          <w:cantSplit w:val="0"/>
          <w:trHeight w:val="406.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6.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6.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6.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6.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line="360" w:lineRule="auto"/>
        <w:ind w:left="708.661417322834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Catatan:</w:t>
        <w:tab/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144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Sampel yang diterima diutamakan </w:t>
      </w:r>
      <w:r w:rsidDel="00000000" w:rsidR="00000000" w:rsidRPr="00000000">
        <w:rPr>
          <w:b w:val="1"/>
          <w:sz w:val="20"/>
          <w:szCs w:val="20"/>
          <w:rtl w:val="0"/>
        </w:rPr>
        <w:t xml:space="preserve">sampel organik tanpa pelarut kimia </w:t>
      </w:r>
      <w:r w:rsidDel="00000000" w:rsidR="00000000" w:rsidRPr="00000000">
        <w:rPr>
          <w:sz w:val="20"/>
          <w:szCs w:val="20"/>
          <w:rtl w:val="0"/>
        </w:rPr>
        <w:t xml:space="preserve">dengan </w:t>
      </w:r>
      <w:r w:rsidDel="00000000" w:rsidR="00000000" w:rsidRPr="00000000">
        <w:rPr>
          <w:b w:val="1"/>
          <w:sz w:val="20"/>
          <w:szCs w:val="20"/>
          <w:rtl w:val="0"/>
        </w:rPr>
        <w:t xml:space="preserve">pH netral (6-8)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144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Sampel dalam bentuk padat, serbuk, gel atau cair yang telah dibekukan (-80⁰C) selama minimal 1 hari sebelumnya.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144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Disarankan menggunakan wadah plastik (thinwall, plastic cylinder container), karena kaca rawan pecah jika di dinginkan di suhu -80 C.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ind w:left="144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Sampel cair harus menggunakan plastic cylinder container/thinwall silinder, volume sampel 15-16% dari wadah (misal wadah ukuran 250 ml diisi maksimal 40 ml sampel cair).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144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Jumlah sampel menyesuaikan kapasitas alat, misalnya 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Freeze Dryer BK-FD12 Biobase 8 buah wadah 250ml + 3 buah wadah 500ml.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ind w:left="144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Pengoperasian berlangsung 24 jam dan hanya dilayani pada hari kerja.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144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Pengambilan sampel yang telah selesai diuji dapat diambil maksimal 2 minggu setelah LHU diterbitkan, Jika melebihi waktu yang telah ditentukan, maka sampel akan dimusnahkan oleh pihak laboratorium.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ind w:left="144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Calon pengguna wajib mengecek ketersediaan hari layanan yang dapat dilihat pada tab kalender Tanggal ajuan yang bertabrakan dengan jadwal yang telah disepakati akan ditolak.</w:t>
      </w:r>
    </w:p>
    <w:p w:rsidR="00000000" w:rsidDel="00000000" w:rsidP="00000000" w:rsidRDefault="00000000" w:rsidRPr="00000000" w14:paraId="00000031">
      <w:pPr>
        <w:widowControl w:val="0"/>
        <w:spacing w:after="40" w:line="276" w:lineRule="auto"/>
        <w:ind w:left="144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spacing w:line="36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Sifat sampel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3.858267716535" w:right="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Korosif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3.858267716535" w:right="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Beracun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3.858267716535" w:right="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Mudah menguap/volatile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3.858267716535" w:right="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Higroskopis/mudah menyerap uap air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3.858267716535" w:right="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Menyebabkan iritasi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3.858267716535" w:right="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Tidak semua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3.858267716535" w:right="0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4"/>
        </w:numPr>
        <w:spacing w:line="36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Perlakuan sampel setelah selesai dilakukan pengujian</w:t>
      </w:r>
    </w:p>
    <w:p w:rsidR="00000000" w:rsidDel="00000000" w:rsidP="00000000" w:rsidRDefault="00000000" w:rsidRPr="00000000" w14:paraId="0000003C">
      <w:pPr>
        <w:spacing w:line="360" w:lineRule="auto"/>
        <w:ind w:left="72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Diambil secara langsung oleh pengguna maksimal 2 minggu setelah LHU diterbitkan di Laboratorium Pangan KST Gunung Kidul (Umar Anggara Jenie).</w:t>
      </w:r>
    </w:p>
    <w:p w:rsidR="00000000" w:rsidDel="00000000" w:rsidP="00000000" w:rsidRDefault="00000000" w:rsidRPr="00000000" w14:paraId="0000003D">
      <w:pPr>
        <w:spacing w:line="360" w:lineRule="auto"/>
        <w:ind w:left="72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4"/>
        </w:numPr>
        <w:spacing w:line="36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Jika dikemudian hari, hasil pengujian atau analisis ini akan dipublikasikan oleh pengguna, mohon kesediaannya untuk bisa menambahkan dalam Ucapan Terima Kasih atau Acknowledgement di dalam publikasi Anda*)</w:t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spacing w:line="360" w:lineRule="auto"/>
        <w:ind w:left="1133.858267716535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Bersedia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spacing w:line="360" w:lineRule="auto"/>
        <w:ind w:left="1133.858267716535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Tidak Bersedia</w:t>
      </w:r>
    </w:p>
    <w:p w:rsidR="00000000" w:rsidDel="00000000" w:rsidP="00000000" w:rsidRDefault="00000000" w:rsidRPr="00000000" w14:paraId="00000041">
      <w:pPr>
        <w:numPr>
          <w:ilvl w:val="0"/>
          <w:numId w:val="4"/>
        </w:numPr>
        <w:spacing w:line="36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Catatan tambahan dari pelanggan</w:t>
      </w:r>
    </w:p>
    <w:p w:rsidR="00000000" w:rsidDel="00000000" w:rsidP="00000000" w:rsidRDefault="00000000" w:rsidRPr="00000000" w14:paraId="00000042">
      <w:pPr>
        <w:spacing w:line="360" w:lineRule="auto"/>
        <w:ind w:left="72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43">
      <w:pPr>
        <w:spacing w:line="36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*) Pilih yang sesuai</w:t>
      </w:r>
    </w:p>
    <w:p w:rsidR="00000000" w:rsidDel="00000000" w:rsidP="00000000" w:rsidRDefault="00000000" w:rsidRPr="00000000" w14:paraId="00000044">
      <w:pPr>
        <w:spacing w:line="36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Keterangan</w:t>
      </w:r>
    </w:p>
    <w:p w:rsidR="00000000" w:rsidDel="00000000" w:rsidP="00000000" w:rsidRDefault="00000000" w:rsidRPr="00000000" w14:paraId="00000045">
      <w:pPr>
        <w:numPr>
          <w:ilvl w:val="0"/>
          <w:numId w:val="3"/>
        </w:numPr>
        <w:spacing w:line="36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Kami tidak melayani preparasi sampel.</w:t>
      </w:r>
    </w:p>
    <w:p w:rsidR="00000000" w:rsidDel="00000000" w:rsidP="00000000" w:rsidRDefault="00000000" w:rsidRPr="00000000" w14:paraId="00000046">
      <w:pPr>
        <w:numPr>
          <w:ilvl w:val="0"/>
          <w:numId w:val="3"/>
        </w:numPr>
        <w:spacing w:line="36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Formulir Detail Pengujian ini mohon di upload saat mengajukan layanan </w:t>
      </w:r>
      <w:r w:rsidDel="00000000" w:rsidR="00000000" w:rsidRPr="00000000">
        <w:rPr>
          <w:b w:val="1"/>
          <w:sz w:val="20"/>
          <w:szCs w:val="20"/>
          <w:rtl w:val="0"/>
        </w:rPr>
        <w:t xml:space="preserve">Freeze Dryer</w:t>
      </w: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133.8582677165355" w:top="1133.8582677165355" w:left="1133.8582677165355" w:right="1133.8582677165355" w:header="720.0000000000001" w:footer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rPr/>
    </w:pPr>
    <w:r w:rsidDel="00000000" w:rsidR="00000000" w:rsidRPr="00000000">
      <w:rPr>
        <w:rtl w:val="0"/>
      </w:rPr>
    </w:r>
  </w:p>
  <w:tbl>
    <w:tblPr>
      <w:tblStyle w:val="Table2"/>
      <w:tblW w:w="9690.0" w:type="dxa"/>
      <w:jc w:val="left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1695"/>
      <w:gridCol w:w="4815"/>
      <w:gridCol w:w="1695"/>
      <w:gridCol w:w="1485"/>
      <w:tblGridChange w:id="0">
        <w:tblGrid>
          <w:gridCol w:w="1695"/>
          <w:gridCol w:w="4815"/>
          <w:gridCol w:w="1695"/>
          <w:gridCol w:w="1485"/>
        </w:tblGrid>
      </w:tblGridChange>
    </w:tblGrid>
    <w:tr>
      <w:trPr>
        <w:cantSplit w:val="0"/>
        <w:trHeight w:val="286.1732283464567" w:hRule="atLeast"/>
        <w:tblHeader w:val="0"/>
      </w:trPr>
      <w:tc>
        <w:tcPr>
          <w:vMerge w:val="restart"/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  <w:vAlign w:val="top"/>
        </w:tcPr>
        <w:p w:rsidR="00000000" w:rsidDel="00000000" w:rsidP="00000000" w:rsidRDefault="00000000" w:rsidRPr="00000000" w14:paraId="0000004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47625</wp:posOffset>
                </wp:positionH>
                <wp:positionV relativeFrom="paragraph">
                  <wp:posOffset>0</wp:posOffset>
                </wp:positionV>
                <wp:extent cx="923961" cy="1201150"/>
                <wp:effectExtent b="0" l="0" r="0" t="0"/>
                <wp:wrapNone/>
                <wp:docPr id="1" name="image1.jpg"/>
                <a:graphic>
                  <a:graphicData uri="http://schemas.openxmlformats.org/drawingml/2006/picture">
                    <pic:pic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61" cy="1201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vMerge w:val="restart"/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  <w:vAlign w:val="top"/>
        </w:tcPr>
        <w:p w:rsidR="00000000" w:rsidDel="00000000" w:rsidP="00000000" w:rsidRDefault="00000000" w:rsidRPr="00000000" w14:paraId="00000049">
          <w:pPr>
            <w:widowControl w:val="0"/>
            <w:spacing w:line="240" w:lineRule="auto"/>
            <w:jc w:val="center"/>
            <w:rPr>
              <w:b w:val="1"/>
            </w:rPr>
          </w:pPr>
          <w:r w:rsidDel="00000000" w:rsidR="00000000" w:rsidRPr="00000000">
            <w:rPr>
              <w:b w:val="1"/>
              <w:rtl w:val="0"/>
            </w:rPr>
            <w:t xml:space="preserve">BADAN RISET DAN INOVASI NASIONAL</w:t>
          </w:r>
        </w:p>
        <w:p w:rsidR="00000000" w:rsidDel="00000000" w:rsidP="00000000" w:rsidRDefault="00000000" w:rsidRPr="00000000" w14:paraId="0000004A">
          <w:pPr>
            <w:widowControl w:val="0"/>
            <w:spacing w:line="240" w:lineRule="auto"/>
            <w:jc w:val="center"/>
            <w:rPr>
              <w:b w:val="1"/>
              <w:sz w:val="20"/>
              <w:szCs w:val="20"/>
            </w:rPr>
          </w:pPr>
          <w:r w:rsidDel="00000000" w:rsidR="00000000" w:rsidRPr="00000000">
            <w:rPr>
              <w:b w:val="1"/>
              <w:sz w:val="20"/>
              <w:szCs w:val="20"/>
              <w:rtl w:val="0"/>
            </w:rPr>
            <w:t xml:space="preserve">DIREKTORAT PENGELOLAAN LABORATORIUM, FASILITAS RISET DAN KAWASAN SAINS DAN TEKNOLOGI</w:t>
          </w:r>
        </w:p>
        <w:p w:rsidR="00000000" w:rsidDel="00000000" w:rsidP="00000000" w:rsidRDefault="00000000" w:rsidRPr="00000000" w14:paraId="0000004B">
          <w:pPr>
            <w:widowControl w:val="0"/>
            <w:spacing w:line="240" w:lineRule="auto"/>
            <w:jc w:val="center"/>
            <w:rPr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C">
          <w:pPr>
            <w:widowControl w:val="0"/>
            <w:spacing w:line="240" w:lineRule="auto"/>
            <w:jc w:val="center"/>
            <w:rPr>
              <w:sz w:val="20"/>
              <w:szCs w:val="20"/>
            </w:rPr>
          </w:pPr>
          <w:r w:rsidDel="00000000" w:rsidR="00000000" w:rsidRPr="00000000">
            <w:rPr>
              <w:b w:val="1"/>
              <w:sz w:val="20"/>
              <w:szCs w:val="20"/>
              <w:rtl w:val="0"/>
            </w:rPr>
            <w:t xml:space="preserve">LABORATORIUM PANGAN</w:t>
            <w:br w:type="textWrapping"/>
            <w:t xml:space="preserve">KST GUNUNG KIDUL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</w:tcPr>
        <w:p w:rsidR="00000000" w:rsidDel="00000000" w:rsidP="00000000" w:rsidRDefault="00000000" w:rsidRPr="00000000" w14:paraId="0000004D">
          <w:pPr>
            <w:widowControl w:val="0"/>
            <w:spacing w:line="240" w:lineRule="auto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Kode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</w:tcPr>
        <w:p w:rsidR="00000000" w:rsidDel="00000000" w:rsidP="00000000" w:rsidRDefault="00000000" w:rsidRPr="00000000" w14:paraId="0000004E">
          <w:pPr>
            <w:widowControl w:val="0"/>
            <w:spacing w:line="240" w:lineRule="auto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DM-IV-F</w:t>
          </w:r>
        </w:p>
      </w:tc>
    </w:tr>
    <w:tr>
      <w:trPr>
        <w:cantSplit w:val="0"/>
        <w:trHeight w:val="286.1732283464567" w:hRule="atLeast"/>
        <w:tblHeader w:val="0"/>
      </w:trPr>
      <w:tc>
        <w:tcPr>
          <w:vMerge w:val="continue"/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  <w:vAlign w:val="top"/>
        </w:tcPr>
        <w:p w:rsidR="00000000" w:rsidDel="00000000" w:rsidP="00000000" w:rsidRDefault="00000000" w:rsidRPr="00000000" w14:paraId="0000004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  <w:vAlign w:val="top"/>
        </w:tcPr>
        <w:p w:rsidR="00000000" w:rsidDel="00000000" w:rsidP="00000000" w:rsidRDefault="00000000" w:rsidRPr="00000000" w14:paraId="0000005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left w:color="000000" w:space="0" w:sz="4" w:val="single"/>
            <w:bottom w:color="000000" w:space="0" w:sz="4" w:val="single"/>
          </w:tcBorders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</w:tcPr>
        <w:p w:rsidR="00000000" w:rsidDel="00000000" w:rsidP="00000000" w:rsidRDefault="00000000" w:rsidRPr="00000000" w14:paraId="00000051">
          <w:pPr>
            <w:widowControl w:val="0"/>
            <w:spacing w:line="240" w:lineRule="auto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Halaman</w:t>
          </w:r>
        </w:p>
      </w:tc>
      <w:tc>
        <w:tcPr>
          <w:tcBorders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</w:tcPr>
        <w:p w:rsidR="00000000" w:rsidDel="00000000" w:rsidP="00000000" w:rsidRDefault="00000000" w:rsidRPr="00000000" w14:paraId="00000052">
          <w:pPr>
            <w:widowControl w:val="0"/>
            <w:spacing w:line="240" w:lineRule="auto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sz w:val="20"/>
              <w:szCs w:val="20"/>
              <w:rtl w:val="0"/>
            </w:rPr>
            <w:t xml:space="preserve">/</w:t>
          </w:r>
          <w:r w:rsidDel="00000000" w:rsidR="00000000" w:rsidRPr="00000000">
            <w:rPr>
              <w:sz w:val="20"/>
              <w:szCs w:val="20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286.1732283464567" w:hRule="atLeast"/>
        <w:tblHeader w:val="0"/>
      </w:trPr>
      <w:tc>
        <w:tcPr>
          <w:vMerge w:val="continue"/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  <w:vAlign w:val="top"/>
        </w:tcPr>
        <w:p w:rsidR="00000000" w:rsidDel="00000000" w:rsidP="00000000" w:rsidRDefault="00000000" w:rsidRPr="00000000" w14:paraId="0000005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  <w:vAlign w:val="top"/>
        </w:tcPr>
        <w:p w:rsidR="00000000" w:rsidDel="00000000" w:rsidP="00000000" w:rsidRDefault="00000000" w:rsidRPr="00000000" w14:paraId="0000005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left w:color="000000" w:space="0" w:sz="4" w:val="single"/>
            <w:bottom w:color="000000" w:space="0" w:sz="4" w:val="single"/>
          </w:tcBorders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</w:tcPr>
        <w:p w:rsidR="00000000" w:rsidDel="00000000" w:rsidP="00000000" w:rsidRDefault="00000000" w:rsidRPr="00000000" w14:paraId="00000055">
          <w:pPr>
            <w:widowControl w:val="0"/>
            <w:spacing w:line="240" w:lineRule="auto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Revisi</w:t>
          </w:r>
        </w:p>
      </w:tc>
      <w:tc>
        <w:tcPr>
          <w:tcBorders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</w:tcPr>
        <w:p w:rsidR="00000000" w:rsidDel="00000000" w:rsidP="00000000" w:rsidRDefault="00000000" w:rsidRPr="00000000" w14:paraId="00000056">
          <w:pPr>
            <w:widowControl w:val="0"/>
            <w:spacing w:line="240" w:lineRule="auto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1</w:t>
          </w:r>
        </w:p>
      </w:tc>
    </w:tr>
    <w:tr>
      <w:trPr>
        <w:cantSplit w:val="0"/>
        <w:trHeight w:val="286.1732283464567" w:hRule="atLeast"/>
        <w:tblHeader w:val="0"/>
      </w:trPr>
      <w:tc>
        <w:tcPr>
          <w:vMerge w:val="continue"/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  <w:vAlign w:val="top"/>
        </w:tcPr>
        <w:p w:rsidR="00000000" w:rsidDel="00000000" w:rsidP="00000000" w:rsidRDefault="00000000" w:rsidRPr="00000000" w14:paraId="0000005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  <w:vAlign w:val="top"/>
        </w:tcPr>
        <w:p w:rsidR="00000000" w:rsidDel="00000000" w:rsidP="00000000" w:rsidRDefault="00000000" w:rsidRPr="00000000" w14:paraId="0000005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left w:color="000000" w:space="0" w:sz="4" w:val="single"/>
            <w:bottom w:color="000000" w:space="0" w:sz="4" w:val="single"/>
          </w:tcBorders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</w:tcPr>
        <w:p w:rsidR="00000000" w:rsidDel="00000000" w:rsidP="00000000" w:rsidRDefault="00000000" w:rsidRPr="00000000" w14:paraId="00000059">
          <w:pPr>
            <w:widowControl w:val="0"/>
            <w:spacing w:line="240" w:lineRule="auto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Tanggal</w:t>
          </w:r>
        </w:p>
      </w:tc>
      <w:tc>
        <w:tcPr>
          <w:tcBorders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</w:tcPr>
        <w:p w:rsidR="00000000" w:rsidDel="00000000" w:rsidP="00000000" w:rsidRDefault="00000000" w:rsidRPr="00000000" w14:paraId="0000005A">
          <w:pPr>
            <w:widowControl w:val="0"/>
            <w:spacing w:line="240" w:lineRule="auto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286.1732283464567" w:hRule="atLeast"/>
        <w:tblHeader w:val="0"/>
      </w:trPr>
      <w:tc>
        <w:tcPr>
          <w:vMerge w:val="continue"/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  <w:vAlign w:val="top"/>
        </w:tcPr>
        <w:p w:rsidR="00000000" w:rsidDel="00000000" w:rsidP="00000000" w:rsidRDefault="00000000" w:rsidRPr="00000000" w14:paraId="0000005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  <w:vAlign w:val="top"/>
        </w:tcPr>
        <w:p w:rsidR="00000000" w:rsidDel="00000000" w:rsidP="00000000" w:rsidRDefault="00000000" w:rsidRPr="00000000" w14:paraId="0000005C">
          <w:pPr>
            <w:widowControl w:val="0"/>
            <w:spacing w:line="240" w:lineRule="auto"/>
            <w:jc w:val="center"/>
            <w:rPr>
              <w:sz w:val="20"/>
              <w:szCs w:val="20"/>
            </w:rPr>
          </w:pPr>
          <w:r w:rsidDel="00000000" w:rsidR="00000000" w:rsidRPr="00000000">
            <w:rPr>
              <w:b w:val="1"/>
              <w:rtl w:val="0"/>
            </w:rPr>
            <w:t xml:space="preserve">FORMULIR DETAIL PENGUJIAN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left w:color="000000" w:space="0" w:sz="4" w:val="single"/>
            <w:bottom w:color="000000" w:space="0" w:sz="4" w:val="single"/>
          </w:tcBorders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</w:tcPr>
        <w:p w:rsidR="00000000" w:rsidDel="00000000" w:rsidP="00000000" w:rsidRDefault="00000000" w:rsidRPr="00000000" w14:paraId="0000005D">
          <w:pPr>
            <w:widowControl w:val="0"/>
            <w:spacing w:line="240" w:lineRule="auto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No Dokumen</w:t>
          </w:r>
        </w:p>
      </w:tc>
      <w:tc>
        <w:tcPr>
          <w:tcBorders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  <w:tcMar>
            <w:top w:w="43.08661417322835" w:type="dxa"/>
            <w:left w:w="43.08661417322835" w:type="dxa"/>
            <w:bottom w:w="43.08661417322835" w:type="dxa"/>
            <w:right w:w="43.08661417322835" w:type="dxa"/>
          </w:tcMar>
        </w:tcPr>
        <w:p w:rsidR="00000000" w:rsidDel="00000000" w:rsidP="00000000" w:rsidRDefault="00000000" w:rsidRPr="00000000" w14:paraId="0000005E">
          <w:pPr>
            <w:widowControl w:val="0"/>
            <w:spacing w:line="240" w:lineRule="auto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